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EC04B" w14:textId="09530D16" w:rsidR="00BE6E80" w:rsidRPr="00A610C0" w:rsidRDefault="00A610C0" w:rsidP="00A610C0">
      <w:pPr>
        <w:pStyle w:val="BodyText"/>
      </w:pPr>
      <w:r>
        <w:rPr>
          <w:noProof/>
        </w:rPr>
        <w:drawing>
          <wp:inline distT="0" distB="0" distL="0" distR="0" wp14:anchorId="5229C654" wp14:editId="4A6BA74F">
            <wp:extent cx="2227166" cy="1150620"/>
            <wp:effectExtent l="0" t="0" r="0" b="0"/>
            <wp:docPr id="2" name="Picture 2" descr="Energy Transiti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ergy Transition Council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2838" cy="1194880"/>
                    </a:xfrm>
                    <a:prstGeom prst="rect">
                      <a:avLst/>
                    </a:prstGeom>
                  </pic:spPr>
                </pic:pic>
              </a:graphicData>
            </a:graphic>
          </wp:inline>
        </w:drawing>
      </w:r>
    </w:p>
    <w:p w14:paraId="7DD907C9" w14:textId="7FDD554F" w:rsidR="00C06D51" w:rsidRPr="00DC2495" w:rsidRDefault="00C06D51" w:rsidP="00DC2495">
      <w:pPr>
        <w:pStyle w:val="Heading1"/>
      </w:pPr>
      <w:r w:rsidRPr="00C06D51">
        <w:t>Energy Transition Council</w:t>
      </w:r>
    </w:p>
    <w:p w14:paraId="0A0CAC79" w14:textId="47066A42" w:rsidR="00C06D51" w:rsidRPr="00DC2495" w:rsidRDefault="00C06D51" w:rsidP="00DC2495">
      <w:pPr>
        <w:pStyle w:val="Heading2"/>
      </w:pPr>
      <w:r w:rsidRPr="00DC2495">
        <w:t>Who we are</w:t>
      </w:r>
    </w:p>
    <w:p w14:paraId="379BE6B0" w14:textId="00311EEC" w:rsidR="00C06D51" w:rsidRPr="00C06D51" w:rsidRDefault="00C06D51" w:rsidP="00C06D51">
      <w:pPr>
        <w:pStyle w:val="BodyText"/>
      </w:pPr>
      <w:r w:rsidRPr="00C06D51">
        <w:rPr>
          <w:rStyle w:val="BOLD"/>
        </w:rPr>
        <w:t>M</w:t>
      </w:r>
      <w:r>
        <w:rPr>
          <w:rStyle w:val="BOLD"/>
        </w:rPr>
        <w:t xml:space="preserve">ultilateral platform </w:t>
      </w:r>
      <w:r w:rsidRPr="00C06D51">
        <w:t xml:space="preserve">with over </w:t>
      </w:r>
      <w:r w:rsidRPr="00227F91">
        <w:rPr>
          <w:rStyle w:val="BOLD"/>
        </w:rPr>
        <w:t>30</w:t>
      </w:r>
      <w:r w:rsidRPr="00C06D51">
        <w:t xml:space="preserve"> governments, multilateral development banks, technical partners and international organisations</w:t>
      </w:r>
    </w:p>
    <w:p w14:paraId="72EDC381" w14:textId="0923DC2E" w:rsidR="00C06D51" w:rsidRPr="00C06D51" w:rsidRDefault="00C06D51" w:rsidP="00C06D51">
      <w:pPr>
        <w:pStyle w:val="BodyText"/>
      </w:pPr>
      <w:r w:rsidRPr="00C06D51">
        <w:rPr>
          <w:rStyle w:val="BOLD"/>
        </w:rPr>
        <w:t xml:space="preserve">20 </w:t>
      </w:r>
      <w:r w:rsidR="00227F91">
        <w:rPr>
          <w:rStyle w:val="BOLD"/>
        </w:rPr>
        <w:t>p</w:t>
      </w:r>
      <w:r>
        <w:rPr>
          <w:rStyle w:val="BOLD"/>
        </w:rPr>
        <w:t xml:space="preserve">artner countries </w:t>
      </w:r>
      <w:r w:rsidRPr="00C06D51">
        <w:t>with clean energy transition challenges and opportunities</w:t>
      </w:r>
    </w:p>
    <w:p w14:paraId="26721657" w14:textId="3CCDBA03" w:rsidR="00C06D51" w:rsidRPr="00C06D51" w:rsidRDefault="00C06D51" w:rsidP="00C06D51">
      <w:pPr>
        <w:pStyle w:val="BodyText"/>
      </w:pPr>
      <w:r w:rsidRPr="00C06D51">
        <w:rPr>
          <w:rStyle w:val="BOLD"/>
        </w:rPr>
        <w:t>H</w:t>
      </w:r>
      <w:r>
        <w:rPr>
          <w:rStyle w:val="BOLD"/>
        </w:rPr>
        <w:t xml:space="preserve">igh-trust dialogue </w:t>
      </w:r>
      <w:r w:rsidRPr="00C06D51">
        <w:t>mobilising, aligning, and coordinating support for  the clean energy transition</w:t>
      </w:r>
    </w:p>
    <w:p w14:paraId="01CFBF6E" w14:textId="690E23FB" w:rsidR="00C06D51" w:rsidRPr="00C06D51" w:rsidRDefault="00C06D51" w:rsidP="00C06D51">
      <w:pPr>
        <w:pStyle w:val="BodyText"/>
      </w:pPr>
      <w:r w:rsidRPr="00C06D51">
        <w:rPr>
          <w:rStyle w:val="BOLD"/>
        </w:rPr>
        <w:t>R</w:t>
      </w:r>
      <w:r>
        <w:rPr>
          <w:rStyle w:val="BOLD"/>
        </w:rPr>
        <w:t xml:space="preserve">apid Response Facility </w:t>
      </w:r>
      <w:r w:rsidRPr="00C06D51">
        <w:rPr>
          <w:rStyle w:val="BOLD"/>
        </w:rPr>
        <w:t>(RRF)</w:t>
      </w:r>
      <w:r w:rsidRPr="00C06D51">
        <w:t xml:space="preserve"> delivering fast-acting and demand-driven technical assistance to address transition barriers and unlock larger term finance </w:t>
      </w:r>
    </w:p>
    <w:p w14:paraId="19EF9ECD" w14:textId="29DD1282" w:rsidR="00C06D51" w:rsidRPr="00C06D51" w:rsidRDefault="00C06D51" w:rsidP="00C06D51">
      <w:pPr>
        <w:pStyle w:val="BodyText"/>
      </w:pPr>
      <w:r w:rsidRPr="00C06D51">
        <w:rPr>
          <w:rStyle w:val="BOLD"/>
        </w:rPr>
        <w:t>C</w:t>
      </w:r>
      <w:r>
        <w:rPr>
          <w:rStyle w:val="BOLD"/>
        </w:rPr>
        <w:t xml:space="preserve">ollaborating </w:t>
      </w:r>
      <w:r w:rsidRPr="00C06D51">
        <w:t>on key areas, including  coal retirement, renewables deployment, energy efficiency and a just transition</w:t>
      </w:r>
    </w:p>
    <w:p w14:paraId="18ABEF07" w14:textId="3F290199" w:rsidR="00C06D51" w:rsidRPr="00C06D51" w:rsidRDefault="00C06D51" w:rsidP="00C06D51">
      <w:pPr>
        <w:pStyle w:val="BodyText"/>
      </w:pPr>
      <w:r w:rsidRPr="00C06D51">
        <w:rPr>
          <w:rStyle w:val="BOLD"/>
        </w:rPr>
        <w:t>D</w:t>
      </w:r>
      <w:r>
        <w:rPr>
          <w:rStyle w:val="BOLD"/>
        </w:rPr>
        <w:t xml:space="preserve">ialogues and RRF support </w:t>
      </w:r>
      <w:r w:rsidRPr="00C06D51">
        <w:t xml:space="preserve">set to continue to at least to </w:t>
      </w:r>
      <w:r w:rsidRPr="00227F91">
        <w:rPr>
          <w:rStyle w:val="BOLD"/>
        </w:rPr>
        <w:t>2025</w:t>
      </w:r>
    </w:p>
    <w:p w14:paraId="1834C18B" w14:textId="4977A1DC" w:rsidR="00C06D51" w:rsidRPr="00DC2495" w:rsidRDefault="00C06D51" w:rsidP="00DC2495">
      <w:pPr>
        <w:pStyle w:val="Heading2"/>
      </w:pPr>
      <w:r w:rsidRPr="00DC2495">
        <w:t xml:space="preserve">What we’ve done so far </w:t>
      </w:r>
    </w:p>
    <w:p w14:paraId="3AF1B874" w14:textId="5BA93785" w:rsidR="00C06D51" w:rsidRPr="00C06D51" w:rsidRDefault="00C06D51" w:rsidP="00C06D51">
      <w:pPr>
        <w:pStyle w:val="BodyText"/>
      </w:pPr>
      <w:r w:rsidRPr="00C06D51">
        <w:rPr>
          <w:rStyle w:val="BOLD"/>
        </w:rPr>
        <w:t>14 ETC national dialogues</w:t>
      </w:r>
      <w:r>
        <w:t xml:space="preserve"> </w:t>
      </w:r>
      <w:r w:rsidRPr="00C06D51">
        <w:t>to identify energy transition priorities, shared challenges  and sources of international support</w:t>
      </w:r>
    </w:p>
    <w:p w14:paraId="663E1481" w14:textId="35D237A3" w:rsidR="00C06D51" w:rsidRPr="00C06D51" w:rsidRDefault="00C06D51" w:rsidP="00C06D51">
      <w:pPr>
        <w:pStyle w:val="BodyText"/>
      </w:pPr>
      <w:r w:rsidRPr="00C06D51">
        <w:rPr>
          <w:rStyle w:val="BOLD"/>
        </w:rPr>
        <w:t xml:space="preserve">6 ETC </w:t>
      </w:r>
      <w:proofErr w:type="spellStart"/>
      <w:r w:rsidRPr="00C06D51">
        <w:rPr>
          <w:rStyle w:val="BOLD"/>
        </w:rPr>
        <w:t>ministerials</w:t>
      </w:r>
      <w:proofErr w:type="spellEnd"/>
      <w:r>
        <w:t xml:space="preserve"> </w:t>
      </w:r>
      <w:r w:rsidRPr="00C06D51">
        <w:t>to raise confidence in ability to deliver on shared challenges; secure ministerial buy-in to energy transition agenda; and foster senior-level, high-trust dialogue</w:t>
      </w:r>
    </w:p>
    <w:p w14:paraId="76A574F2" w14:textId="77777777" w:rsidR="00C06D51" w:rsidRPr="00C06D51" w:rsidRDefault="00C06D51" w:rsidP="00C06D51">
      <w:pPr>
        <w:pStyle w:val="BodyText"/>
      </w:pPr>
      <w:r w:rsidRPr="00DC2495">
        <w:rPr>
          <w:rStyle w:val="BOLD"/>
        </w:rPr>
        <w:t xml:space="preserve">100s </w:t>
      </w:r>
      <w:r w:rsidRPr="00C06D51">
        <w:t>of smaller focused strategy sessions and working groups to address and unblock challenges impeding the energy transition</w:t>
      </w:r>
    </w:p>
    <w:p w14:paraId="4484712F" w14:textId="534A149C" w:rsidR="00C06D51" w:rsidRPr="00C06D51" w:rsidRDefault="00C06D51" w:rsidP="00C06D51">
      <w:pPr>
        <w:pStyle w:val="BodyText"/>
      </w:pPr>
      <w:r w:rsidRPr="00DC2495">
        <w:rPr>
          <w:rStyle w:val="BOLD"/>
        </w:rPr>
        <w:t xml:space="preserve">27 RRF </w:t>
      </w:r>
      <w:r w:rsidR="00DC2495" w:rsidRPr="00DC2495">
        <w:rPr>
          <w:rStyle w:val="BOLD"/>
        </w:rPr>
        <w:t>technical</w:t>
      </w:r>
      <w:r w:rsidR="00DC2495">
        <w:t xml:space="preserve"> </w:t>
      </w:r>
      <w:r w:rsidRPr="00DC2495">
        <w:rPr>
          <w:rStyle w:val="Blue"/>
        </w:rPr>
        <w:t>requests</w:t>
      </w:r>
      <w:r w:rsidRPr="00C06D51">
        <w:t xml:space="preserve"> in energy efficiency, just transition and clean cooking across </w:t>
      </w:r>
    </w:p>
    <w:p w14:paraId="46527F33" w14:textId="130F2624" w:rsidR="00C06D51" w:rsidRPr="00C06D51" w:rsidRDefault="00C06D51" w:rsidP="00C06D51">
      <w:pPr>
        <w:pStyle w:val="BodyText"/>
      </w:pPr>
      <w:r w:rsidRPr="00DC2495">
        <w:rPr>
          <w:rStyle w:val="BOLD"/>
        </w:rPr>
        <w:t>9 ETC Countries</w:t>
      </w:r>
      <w:r w:rsidRPr="00C06D51">
        <w:t xml:space="preserve">, with more in the pipeline </w:t>
      </w:r>
      <w:r w:rsidR="00DC2495" w:rsidRPr="00DC2495">
        <w:rPr>
          <w:rStyle w:val="Blue"/>
        </w:rPr>
        <w:t>r</w:t>
      </w:r>
      <w:r w:rsidRPr="00DC2495">
        <w:rPr>
          <w:rStyle w:val="Blue"/>
        </w:rPr>
        <w:t>esponded to by over</w:t>
      </w:r>
      <w:r w:rsidRPr="00C06D51">
        <w:t xml:space="preserve"> </w:t>
      </w:r>
    </w:p>
    <w:p w14:paraId="65E69CB8" w14:textId="0F07E6A8" w:rsidR="00C06D51" w:rsidRPr="00C06D51" w:rsidRDefault="00C06D51" w:rsidP="00C06D51">
      <w:pPr>
        <w:pStyle w:val="BodyText"/>
      </w:pPr>
      <w:r w:rsidRPr="00DC2495">
        <w:rPr>
          <w:rStyle w:val="BOLD"/>
        </w:rPr>
        <w:t xml:space="preserve">25 </w:t>
      </w:r>
      <w:r w:rsidR="00227F91">
        <w:rPr>
          <w:rStyle w:val="BOLD"/>
        </w:rPr>
        <w:t>d</w:t>
      </w:r>
      <w:r w:rsidR="00DC2495" w:rsidRPr="00DC2495">
        <w:rPr>
          <w:rStyle w:val="BOLD"/>
        </w:rPr>
        <w:t>elivery partners</w:t>
      </w:r>
      <w:r w:rsidRPr="00C06D51">
        <w:t>, with more in the pipeline</w:t>
      </w:r>
    </w:p>
    <w:p w14:paraId="5B172CD6" w14:textId="77777777" w:rsidR="00C06D51" w:rsidRPr="00C06D51" w:rsidRDefault="00C06D51" w:rsidP="00C06D51">
      <w:pPr>
        <w:pStyle w:val="BodyText"/>
      </w:pPr>
      <w:r w:rsidRPr="00DC2495">
        <w:rPr>
          <w:rStyle w:val="Blue"/>
        </w:rPr>
        <w:t>Resulting in</w:t>
      </w:r>
      <w:r w:rsidRPr="00C06D51">
        <w:t xml:space="preserve"> significant clean energy commitments made  by ETC partner countries, including through the COP26 Global Coal to Clean Power Statement</w:t>
      </w:r>
    </w:p>
    <w:p w14:paraId="1DBE65DE" w14:textId="04089FF1" w:rsidR="00C06D51" w:rsidRPr="00DC2495" w:rsidRDefault="00C06D51" w:rsidP="00DC2495">
      <w:pPr>
        <w:pStyle w:val="Heading2"/>
      </w:pPr>
      <w:r w:rsidRPr="00DC2495">
        <w:lastRenderedPageBreak/>
        <w:t>P</w:t>
      </w:r>
      <w:r w:rsidR="00DC2495">
        <w:t>artner countries</w:t>
      </w:r>
    </w:p>
    <w:p w14:paraId="2C56B590" w14:textId="77777777" w:rsidR="00C06D51" w:rsidRPr="00DC2495" w:rsidRDefault="00C06D51" w:rsidP="00DC2495">
      <w:pPr>
        <w:pStyle w:val="ListParagraph"/>
      </w:pPr>
      <w:r w:rsidRPr="00DC2495">
        <w:t>Indonesia</w:t>
      </w:r>
    </w:p>
    <w:p w14:paraId="15802CD5" w14:textId="77777777" w:rsidR="00C06D51" w:rsidRPr="00DC2495" w:rsidRDefault="00C06D51" w:rsidP="00DC2495">
      <w:pPr>
        <w:pStyle w:val="ListParagraph"/>
      </w:pPr>
      <w:r w:rsidRPr="00DC2495">
        <w:t>India</w:t>
      </w:r>
    </w:p>
    <w:p w14:paraId="7144A0D9" w14:textId="77777777" w:rsidR="00C06D51" w:rsidRPr="00DC2495" w:rsidRDefault="00C06D51" w:rsidP="00DC2495">
      <w:pPr>
        <w:pStyle w:val="ListParagraph"/>
      </w:pPr>
      <w:r w:rsidRPr="00DC2495">
        <w:t>Vietnam</w:t>
      </w:r>
    </w:p>
    <w:p w14:paraId="70DB8AE2" w14:textId="13AA5682" w:rsidR="00C06D51" w:rsidRPr="00DC2495" w:rsidRDefault="00C06D51" w:rsidP="00DC2495">
      <w:pPr>
        <w:pStyle w:val="ListParagraph"/>
      </w:pPr>
      <w:r w:rsidRPr="00DC2495">
        <w:t>Philippines</w:t>
      </w:r>
    </w:p>
    <w:p w14:paraId="316BE93A" w14:textId="77777777" w:rsidR="00C06D51" w:rsidRPr="00DC2495" w:rsidRDefault="00C06D51" w:rsidP="00DC2495">
      <w:pPr>
        <w:pStyle w:val="ListParagraph"/>
      </w:pPr>
      <w:r w:rsidRPr="00DC2495">
        <w:t>Laos PDR</w:t>
      </w:r>
    </w:p>
    <w:p w14:paraId="13DF29EB" w14:textId="77777777" w:rsidR="00C06D51" w:rsidRPr="00DC2495" w:rsidRDefault="00C06D51" w:rsidP="00DC2495">
      <w:pPr>
        <w:pStyle w:val="ListParagraph"/>
      </w:pPr>
      <w:r w:rsidRPr="00DC2495">
        <w:t>Bangladesh</w:t>
      </w:r>
    </w:p>
    <w:p w14:paraId="7357D9A9" w14:textId="77777777" w:rsidR="00C06D51" w:rsidRPr="00DC2495" w:rsidRDefault="00C06D51" w:rsidP="00DC2495">
      <w:pPr>
        <w:pStyle w:val="ListParagraph"/>
      </w:pPr>
      <w:r w:rsidRPr="00DC2495">
        <w:t>Pakistan</w:t>
      </w:r>
    </w:p>
    <w:p w14:paraId="0C461891" w14:textId="77777777" w:rsidR="00C06D51" w:rsidRPr="00DC2495" w:rsidRDefault="00C06D51" w:rsidP="00DC2495">
      <w:pPr>
        <w:pStyle w:val="ListParagraph"/>
      </w:pPr>
      <w:r w:rsidRPr="00DC2495">
        <w:t xml:space="preserve">Morocco </w:t>
      </w:r>
    </w:p>
    <w:p w14:paraId="78292300" w14:textId="77777777" w:rsidR="00C06D51" w:rsidRPr="00DC2495" w:rsidRDefault="00C06D51" w:rsidP="00DC2495">
      <w:pPr>
        <w:pStyle w:val="ListParagraph"/>
      </w:pPr>
      <w:r w:rsidRPr="00DC2495">
        <w:t>Egypt</w:t>
      </w:r>
    </w:p>
    <w:p w14:paraId="5D30BD45" w14:textId="77777777" w:rsidR="00C06D51" w:rsidRPr="00DC2495" w:rsidRDefault="00C06D51" w:rsidP="00DC2495">
      <w:pPr>
        <w:pStyle w:val="ListParagraph"/>
      </w:pPr>
      <w:r w:rsidRPr="00DC2495">
        <w:t>Nigeria</w:t>
      </w:r>
    </w:p>
    <w:p w14:paraId="31D9ED17" w14:textId="77777777" w:rsidR="00C06D51" w:rsidRPr="00DC2495" w:rsidRDefault="00C06D51" w:rsidP="00DC2495">
      <w:pPr>
        <w:pStyle w:val="ListParagraph"/>
      </w:pPr>
      <w:r w:rsidRPr="00DC2495">
        <w:t>Kenya</w:t>
      </w:r>
    </w:p>
    <w:p w14:paraId="3242D00A" w14:textId="38589560" w:rsidR="00C06D51" w:rsidRPr="00C06D51" w:rsidRDefault="00C06D51" w:rsidP="00DC2495">
      <w:pPr>
        <w:pStyle w:val="Heading2"/>
      </w:pPr>
      <w:r w:rsidRPr="00C06D51">
        <w:t>D</w:t>
      </w:r>
      <w:r w:rsidR="00DC2495">
        <w:t xml:space="preserve">onor governments </w:t>
      </w:r>
    </w:p>
    <w:p w14:paraId="4833F10A" w14:textId="77777777" w:rsidR="00C06D51" w:rsidRPr="00DC2495" w:rsidRDefault="00C06D51" w:rsidP="00DC2495">
      <w:pPr>
        <w:pStyle w:val="ListParagraph"/>
      </w:pPr>
      <w:r w:rsidRPr="00DC2495">
        <w:t>France</w:t>
      </w:r>
    </w:p>
    <w:p w14:paraId="0BB2EB92" w14:textId="77777777" w:rsidR="00C06D51" w:rsidRPr="00DC2495" w:rsidRDefault="00C06D51" w:rsidP="00DC2495">
      <w:pPr>
        <w:pStyle w:val="ListParagraph"/>
      </w:pPr>
      <w:r w:rsidRPr="00DC2495">
        <w:t>Germany</w:t>
      </w:r>
    </w:p>
    <w:p w14:paraId="6A03F8D5" w14:textId="77777777" w:rsidR="00C06D51" w:rsidRPr="00DC2495" w:rsidRDefault="00C06D51" w:rsidP="00DC2495">
      <w:pPr>
        <w:pStyle w:val="ListParagraph"/>
      </w:pPr>
      <w:r w:rsidRPr="00DC2495">
        <w:t>European Commission</w:t>
      </w:r>
    </w:p>
    <w:p w14:paraId="356DF772" w14:textId="77777777" w:rsidR="00C06D51" w:rsidRPr="00DC2495" w:rsidRDefault="00C06D51" w:rsidP="00DC2495">
      <w:pPr>
        <w:pStyle w:val="ListParagraph"/>
      </w:pPr>
      <w:r w:rsidRPr="00DC2495">
        <w:t>Denmark</w:t>
      </w:r>
    </w:p>
    <w:p w14:paraId="56BA91C0" w14:textId="77777777" w:rsidR="00C06D51" w:rsidRPr="00DC2495" w:rsidRDefault="00C06D51" w:rsidP="00DC2495">
      <w:pPr>
        <w:pStyle w:val="ListParagraph"/>
      </w:pPr>
      <w:r w:rsidRPr="00DC2495">
        <w:t>US</w:t>
      </w:r>
    </w:p>
    <w:p w14:paraId="4E765B93" w14:textId="19582205" w:rsidR="00C06D51" w:rsidRPr="00DC2495" w:rsidRDefault="00C06D51" w:rsidP="00DC2495">
      <w:pPr>
        <w:pStyle w:val="ListParagraph"/>
      </w:pPr>
      <w:r w:rsidRPr="00DC2495">
        <w:t>Canada</w:t>
      </w:r>
    </w:p>
    <w:p w14:paraId="2DA3F4AA" w14:textId="0B3F490C" w:rsidR="00C06D51" w:rsidRPr="00DC2495" w:rsidRDefault="00C06D51" w:rsidP="00DC2495">
      <w:pPr>
        <w:pStyle w:val="ListParagraph"/>
      </w:pPr>
      <w:r w:rsidRPr="00DC2495">
        <w:t>Netherlands</w:t>
      </w:r>
    </w:p>
    <w:p w14:paraId="05EDE492" w14:textId="77777777" w:rsidR="00C06D51" w:rsidRPr="00DC2495" w:rsidRDefault="00C06D51" w:rsidP="00DC2495">
      <w:pPr>
        <w:pStyle w:val="ListParagraph"/>
      </w:pPr>
      <w:r w:rsidRPr="00DC2495">
        <w:t>Norway</w:t>
      </w:r>
    </w:p>
    <w:p w14:paraId="12665B1B" w14:textId="77777777" w:rsidR="00C06D51" w:rsidRPr="00DC2495" w:rsidRDefault="00C06D51" w:rsidP="00DC2495">
      <w:pPr>
        <w:pStyle w:val="ListParagraph"/>
      </w:pPr>
      <w:r w:rsidRPr="00DC2495">
        <w:t>Sweden</w:t>
      </w:r>
    </w:p>
    <w:p w14:paraId="5A83A257" w14:textId="77777777" w:rsidR="00DC2495" w:rsidRDefault="00C06D51" w:rsidP="00DC2495">
      <w:pPr>
        <w:pStyle w:val="Heading2"/>
      </w:pPr>
      <w:r w:rsidRPr="00C06D51">
        <w:t>I</w:t>
      </w:r>
      <w:r w:rsidR="00DC2495">
        <w:t xml:space="preserve">nstitutions &amp; philanthropies </w:t>
      </w:r>
    </w:p>
    <w:p w14:paraId="0C6A9F5B" w14:textId="21FBF8C7" w:rsidR="00C06D51" w:rsidRPr="00C06D51" w:rsidRDefault="00C06D51" w:rsidP="00DC2495">
      <w:pPr>
        <w:pStyle w:val="BodyText"/>
      </w:pPr>
      <w:r w:rsidRPr="00DC2495">
        <w:t>African Development Bank, Asian Development Bank, Bloomberg Philanthropies,</w:t>
      </w:r>
      <w:r w:rsidR="00DC2495">
        <w:t xml:space="preserve"> </w:t>
      </w:r>
      <w:r w:rsidRPr="00DC2495">
        <w:t>Climate Emergency Collaboration Group, Climate Investment Funds, Coal Asset Transition Accelerator, European Bank for Reconstruction and Development, European Climate Fund, European Investment Bank, Global Energy Alliance for People and Planet, Green Climate Fund, International Energy Agency, International Finance Corporation, International Labour Organisation, International Network of Energy Transition Think Tanks, International Renewable Energy Agency, International Solar Alliance, Quadrature Climate Fund, Rockefeller Foundation, South-East Asia Energy Transition Partnership, World Bank, and over 25 RRF delivery partners</w:t>
      </w:r>
      <w:r w:rsidR="00DC2495">
        <w:t>.</w:t>
      </w:r>
    </w:p>
    <w:sectPr w:rsidR="00C06D51" w:rsidRPr="00C06D51" w:rsidSect="00796F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72C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25D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7473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CC3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F6B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60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2E7F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00D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862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A55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E21B1"/>
    <w:multiLevelType w:val="hybridMultilevel"/>
    <w:tmpl w:val="568CC430"/>
    <w:lvl w:ilvl="0" w:tplc="ABFA467A">
      <w:start w:val="1"/>
      <w:numFmt w:val="bullet"/>
      <w:pStyle w:val="ListParagraph"/>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16cid:durableId="1851096569">
    <w:abstractNumId w:val="0"/>
  </w:num>
  <w:num w:numId="2" w16cid:durableId="1227643256">
    <w:abstractNumId w:val="1"/>
  </w:num>
  <w:num w:numId="3" w16cid:durableId="600189522">
    <w:abstractNumId w:val="2"/>
  </w:num>
  <w:num w:numId="4" w16cid:durableId="2067486019">
    <w:abstractNumId w:val="3"/>
  </w:num>
  <w:num w:numId="5" w16cid:durableId="622854335">
    <w:abstractNumId w:val="8"/>
  </w:num>
  <w:num w:numId="6" w16cid:durableId="92819838">
    <w:abstractNumId w:val="4"/>
  </w:num>
  <w:num w:numId="7" w16cid:durableId="1673531711">
    <w:abstractNumId w:val="5"/>
  </w:num>
  <w:num w:numId="8" w16cid:durableId="1478113335">
    <w:abstractNumId w:val="6"/>
  </w:num>
  <w:num w:numId="9" w16cid:durableId="741215372">
    <w:abstractNumId w:val="7"/>
  </w:num>
  <w:num w:numId="10" w16cid:durableId="1639414390">
    <w:abstractNumId w:val="9"/>
  </w:num>
  <w:num w:numId="11" w16cid:durableId="127170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48"/>
    <w:rsid w:val="00227F91"/>
    <w:rsid w:val="00562928"/>
    <w:rsid w:val="00796F80"/>
    <w:rsid w:val="009C2604"/>
    <w:rsid w:val="00A610C0"/>
    <w:rsid w:val="00BB3491"/>
    <w:rsid w:val="00BE6E80"/>
    <w:rsid w:val="00C06D51"/>
    <w:rsid w:val="00D02F48"/>
    <w:rsid w:val="00D071C3"/>
    <w:rsid w:val="00DC2495"/>
    <w:rsid w:val="00DC5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65BF"/>
  <w15:chartTrackingRefBased/>
  <w15:docId w15:val="{7CF9A988-A8DA-0441-8CF6-08C67AAA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50"/>
    <w:pPr>
      <w:spacing w:after="240"/>
    </w:pPr>
  </w:style>
  <w:style w:type="paragraph" w:styleId="Heading1">
    <w:name w:val="heading 1"/>
    <w:next w:val="BodyText"/>
    <w:link w:val="Heading1Char"/>
    <w:uiPriority w:val="9"/>
    <w:qFormat/>
    <w:rsid w:val="00C06D51"/>
    <w:pPr>
      <w:keepNext/>
      <w:keepLines/>
      <w:spacing w:before="240" w:after="400"/>
      <w:outlineLvl w:val="0"/>
    </w:pPr>
    <w:rPr>
      <w:rFonts w:asciiTheme="majorHAnsi" w:eastAsiaTheme="majorEastAsia" w:hAnsiTheme="majorHAnsi" w:cstheme="majorBidi"/>
      <w:b/>
      <w:color w:val="1F3864" w:themeColor="accent1" w:themeShade="80"/>
      <w:sz w:val="40"/>
      <w:szCs w:val="32"/>
    </w:rPr>
  </w:style>
  <w:style w:type="paragraph" w:styleId="Heading2">
    <w:name w:val="heading 2"/>
    <w:next w:val="Normal"/>
    <w:link w:val="Heading2Char"/>
    <w:uiPriority w:val="9"/>
    <w:unhideWhenUsed/>
    <w:qFormat/>
    <w:rsid w:val="00DC2495"/>
    <w:pPr>
      <w:keepNext/>
      <w:keepLines/>
      <w:spacing w:before="320" w:after="400"/>
      <w:outlineLvl w:val="1"/>
    </w:pPr>
    <w:rPr>
      <w:rFonts w:asciiTheme="majorHAnsi" w:eastAsiaTheme="majorEastAsia" w:hAnsiTheme="majorHAnsi" w:cstheme="majorBidi"/>
      <w:b/>
      <w:color w:val="1F3864" w:themeColor="accent1" w:themeShade="80"/>
      <w:sz w:val="32"/>
      <w:szCs w:val="26"/>
    </w:rPr>
  </w:style>
  <w:style w:type="paragraph" w:styleId="Heading3">
    <w:name w:val="heading 3"/>
    <w:next w:val="Normal"/>
    <w:link w:val="Heading3Char"/>
    <w:uiPriority w:val="9"/>
    <w:unhideWhenUsed/>
    <w:qFormat/>
    <w:rsid w:val="00C06D51"/>
    <w:pPr>
      <w:keepNext/>
      <w:keepLines/>
      <w:spacing w:before="40" w:after="280"/>
      <w:outlineLvl w:val="2"/>
    </w:pPr>
    <w:rPr>
      <w:rFonts w:asciiTheme="majorHAnsi" w:eastAsiaTheme="majorEastAsia" w:hAnsiTheme="majorHAnsi" w:cstheme="majorBidi"/>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495"/>
    <w:rPr>
      <w:rFonts w:asciiTheme="majorHAnsi" w:eastAsiaTheme="majorEastAsia" w:hAnsiTheme="majorHAnsi" w:cstheme="majorBidi"/>
      <w:b/>
      <w:color w:val="1F3864" w:themeColor="accent1" w:themeShade="80"/>
      <w:sz w:val="32"/>
      <w:szCs w:val="26"/>
    </w:rPr>
  </w:style>
  <w:style w:type="paragraph" w:styleId="BodyText">
    <w:name w:val="Body Text"/>
    <w:link w:val="BodyTextChar"/>
    <w:uiPriority w:val="99"/>
    <w:unhideWhenUsed/>
    <w:rsid w:val="00C06D51"/>
    <w:pPr>
      <w:spacing w:after="240"/>
    </w:pPr>
  </w:style>
  <w:style w:type="character" w:customStyle="1" w:styleId="BodyTextChar">
    <w:name w:val="Body Text Char"/>
    <w:basedOn w:val="DefaultParagraphFont"/>
    <w:link w:val="BodyText"/>
    <w:uiPriority w:val="99"/>
    <w:rsid w:val="00C06D51"/>
  </w:style>
  <w:style w:type="character" w:customStyle="1" w:styleId="Heading1Char">
    <w:name w:val="Heading 1 Char"/>
    <w:basedOn w:val="DefaultParagraphFont"/>
    <w:link w:val="Heading1"/>
    <w:uiPriority w:val="9"/>
    <w:rsid w:val="00C06D51"/>
    <w:rPr>
      <w:rFonts w:asciiTheme="majorHAnsi" w:eastAsiaTheme="majorEastAsia" w:hAnsiTheme="majorHAnsi" w:cstheme="majorBidi"/>
      <w:b/>
      <w:color w:val="1F3864" w:themeColor="accent1" w:themeShade="80"/>
      <w:sz w:val="40"/>
      <w:szCs w:val="32"/>
    </w:rPr>
  </w:style>
  <w:style w:type="character" w:customStyle="1" w:styleId="Heading3Char">
    <w:name w:val="Heading 3 Char"/>
    <w:basedOn w:val="DefaultParagraphFont"/>
    <w:link w:val="Heading3"/>
    <w:uiPriority w:val="9"/>
    <w:rsid w:val="00C06D51"/>
    <w:rPr>
      <w:rFonts w:asciiTheme="majorHAnsi" w:eastAsiaTheme="majorEastAsia" w:hAnsiTheme="majorHAnsi" w:cstheme="majorBidi"/>
      <w:color w:val="000000" w:themeColor="text1"/>
      <w:sz w:val="28"/>
    </w:rPr>
  </w:style>
  <w:style w:type="character" w:customStyle="1" w:styleId="BOLD">
    <w:name w:val="BOLD"/>
    <w:uiPriority w:val="1"/>
    <w:qFormat/>
    <w:rsid w:val="00C06D51"/>
    <w:rPr>
      <w:b/>
      <w:i w:val="0"/>
    </w:rPr>
  </w:style>
  <w:style w:type="character" w:customStyle="1" w:styleId="Blue">
    <w:name w:val="Blue"/>
    <w:uiPriority w:val="1"/>
    <w:qFormat/>
    <w:rsid w:val="00DC2495"/>
    <w:rPr>
      <w:b/>
      <w:color w:val="1F3864" w:themeColor="accent1" w:themeShade="80"/>
    </w:rPr>
  </w:style>
  <w:style w:type="paragraph" w:styleId="ListParagraph">
    <w:name w:val="List Paragraph"/>
    <w:basedOn w:val="Normal"/>
    <w:uiPriority w:val="34"/>
    <w:qFormat/>
    <w:rsid w:val="00DC2495"/>
    <w:pPr>
      <w:numPr>
        <w:numId w:val="11"/>
      </w:numPr>
      <w:ind w:left="1492" w:hanging="454"/>
      <w:contextualSpacing/>
    </w:pPr>
    <w:rPr>
      <w:rFonts w:cs="Times New Roman (Body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333</Words>
  <Characters>2108</Characters>
  <Application>Microsoft Office Word</Application>
  <DocSecurity>0</DocSecurity>
  <Lines>60</Lines>
  <Paragraphs>45</Paragraphs>
  <ScaleCrop>false</ScaleCrop>
  <HeadingPairs>
    <vt:vector size="2" baseType="variant">
      <vt:variant>
        <vt:lpstr>Title</vt:lpstr>
      </vt:variant>
      <vt:variant>
        <vt:i4>1</vt:i4>
      </vt:variant>
    </vt:vector>
  </HeadingPairs>
  <TitlesOfParts>
    <vt:vector size="1" baseType="lpstr">
      <vt:lpstr>Energy Transition Council infographic - accessible text</vt:lpstr>
    </vt:vector>
  </TitlesOfParts>
  <Manager/>
  <Company>BEIS</Company>
  <LinksUpToDate>false</LinksUpToDate>
  <CharactersWithSpaces>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Transition Council infographic - accessible text</dc:title>
  <dc:subject>Energy Transition Council infographic</dc:subject>
  <dc:creator>Design102</dc:creator>
  <cp:keywords>Energy Transition Council infographic accessible text 6.8126 BEIS</cp:keywords>
  <dc:description/>
  <cp:lastModifiedBy>Tidd, Teresa</cp:lastModifiedBy>
  <cp:revision>4</cp:revision>
  <dcterms:created xsi:type="dcterms:W3CDTF">2022-11-04T11:35:00Z</dcterms:created>
  <dcterms:modified xsi:type="dcterms:W3CDTF">2022-11-04T12:35:00Z</dcterms:modified>
  <cp:category/>
</cp:coreProperties>
</file>